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91"/>
        <w:tblW w:w="14083" w:type="dxa"/>
        <w:tblLook w:val="04A0" w:firstRow="1" w:lastRow="0" w:firstColumn="1" w:lastColumn="0" w:noHBand="0" w:noVBand="1"/>
      </w:tblPr>
      <w:tblGrid>
        <w:gridCol w:w="270"/>
        <w:gridCol w:w="2251"/>
        <w:gridCol w:w="3059"/>
        <w:gridCol w:w="2070"/>
        <w:gridCol w:w="2282"/>
        <w:gridCol w:w="3108"/>
        <w:gridCol w:w="1043"/>
      </w:tblGrid>
      <w:tr w:rsidR="00BB73BA" w:rsidRPr="00BB73BA" w:rsidTr="009E634A">
        <w:trPr>
          <w:trHeight w:val="319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E22"/>
            <w:r w:rsidRPr="00BB73BA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  <w:t>Company Name</w:t>
            </w:r>
            <w:bookmarkEnd w:id="0"/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  <w:r w:rsidRPr="00BB73BA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  <w:t>Contact Phone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  <w:r w:rsidRPr="00BB73BA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  <w:r w:rsidRPr="00BB73BA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  <w:t>Grease Interceptors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  <w:r w:rsidRPr="00BB73BA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  <w:t>Oil/Water/Grit Separators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</w:p>
          <w:p w:rsidR="00E838B8" w:rsidRPr="00BB73BA" w:rsidRDefault="00E838B8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73BA" w:rsidRPr="00BB73BA" w:rsidTr="009E634A">
        <w:trPr>
          <w:trHeight w:val="278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EB1347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Quality Septic Service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EB1347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Tim Pafford: 229-873-2511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EB1347" w:rsidRDefault="00662607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Naylor,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EB1347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BA" w:rsidRPr="00EB1347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BA" w:rsidRPr="00BB73BA" w:rsidRDefault="00BB73BA" w:rsidP="00E007B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Southern LLC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Casey Bennett: 229-300-2652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Nashville,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97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97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Dar-Pro Solutions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5B1807" w:rsidP="005B1807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Customer Service</w:t>
            </w:r>
            <w:r w:rsidR="009E634A"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B180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855-327-7761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Thomasville,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70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Grease-Tech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Jimmy Johnson: 229-378-5100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Cairo,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25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97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Jones Septic Tank Inc.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Blake Jones: 229-226-8708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Thomasville,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70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Liquid Environmental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Customer Service: 866-694-7327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Jacksonville, FL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70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Valley Proteins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Customer Service: 800-871-3406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Jacksonville, FL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260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NDB Septic Service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Neal Bennett: 229-686-8515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Nashville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15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34A" w:rsidRPr="00EB1347" w:rsidRDefault="009E634A" w:rsidP="009E634A">
            <w:pPr>
              <w:spacing w:after="0" w:line="240" w:lineRule="auto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215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Crystal Clean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Nick Crawford: 229-977-3488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Thomasville,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233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Georgia Petroleum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Jason Crosby: 229-244-9110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Valdosta, GA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74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233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January Environmental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Customer Service:405-670-2030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Southeastern U.S.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4A" w:rsidRPr="00EB1347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</w:pPr>
            <w:r w:rsidRPr="00EB1347">
              <w:rPr>
                <w:rFonts w:ascii="Rockwell" w:eastAsia="Times New Roman" w:hAnsi="Rockwell" w:cs="Times New Roman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</w:rPr>
            </w:pPr>
          </w:p>
        </w:tc>
      </w:tr>
      <w:tr w:rsidR="009E634A" w:rsidRPr="00BB73BA" w:rsidTr="009E634A">
        <w:trPr>
          <w:trHeight w:val="319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34A" w:rsidRPr="00BB73BA" w:rsidTr="009E634A">
        <w:trPr>
          <w:trHeight w:val="319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34A" w:rsidRPr="00BB73BA" w:rsidRDefault="009E634A" w:rsidP="009E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38B8" w:rsidRPr="00EB1347" w:rsidRDefault="00E838B8" w:rsidP="00E838B8">
      <w:pPr>
        <w:jc w:val="center"/>
        <w:rPr>
          <w:rFonts w:ascii="Georgia" w:hAnsi="Georgia"/>
          <w:b/>
          <w:sz w:val="20"/>
          <w:szCs w:val="20"/>
        </w:rPr>
      </w:pPr>
      <w:r w:rsidRPr="00EB1347">
        <w:rPr>
          <w:rFonts w:ascii="Georgia" w:hAnsi="Georgia"/>
          <w:b/>
          <w:sz w:val="20"/>
          <w:szCs w:val="20"/>
        </w:rPr>
        <w:t>City of Valdosta</w:t>
      </w:r>
      <w:r w:rsidR="00EB1347">
        <w:rPr>
          <w:rFonts w:ascii="Georgia" w:hAnsi="Georgia"/>
          <w:b/>
          <w:sz w:val="20"/>
          <w:szCs w:val="20"/>
        </w:rPr>
        <w:t xml:space="preserve"> Approved</w:t>
      </w:r>
      <w:r w:rsidRPr="00EB1347">
        <w:rPr>
          <w:rFonts w:ascii="Georgia" w:hAnsi="Georgia"/>
          <w:b/>
          <w:sz w:val="20"/>
          <w:szCs w:val="20"/>
        </w:rPr>
        <w:t xml:space="preserve"> Commercial Waste Hauler List</w:t>
      </w:r>
    </w:p>
    <w:p w:rsidR="00DF2F19" w:rsidRPr="00EB1347" w:rsidRDefault="003251B1">
      <w:pPr>
        <w:rPr>
          <w:rFonts w:ascii="Georgia" w:hAnsi="Georgia"/>
          <w:sz w:val="20"/>
          <w:szCs w:val="20"/>
        </w:rPr>
      </w:pPr>
      <w:r w:rsidRPr="00EB1347">
        <w:rPr>
          <w:rFonts w:ascii="Georgia" w:hAnsi="Georgia"/>
          <w:sz w:val="20"/>
          <w:szCs w:val="20"/>
        </w:rPr>
        <w:t xml:space="preserve">All </w:t>
      </w:r>
      <w:r w:rsidR="00F84CA4">
        <w:rPr>
          <w:rFonts w:ascii="Georgia" w:hAnsi="Georgia"/>
          <w:sz w:val="20"/>
          <w:szCs w:val="20"/>
        </w:rPr>
        <w:t xml:space="preserve">commercial </w:t>
      </w:r>
      <w:r w:rsidR="00D00B29">
        <w:rPr>
          <w:rFonts w:ascii="Georgia" w:hAnsi="Georgia"/>
          <w:sz w:val="20"/>
          <w:szCs w:val="20"/>
        </w:rPr>
        <w:t>h</w:t>
      </w:r>
      <w:r w:rsidRPr="00EB1347">
        <w:rPr>
          <w:rFonts w:ascii="Georgia" w:hAnsi="Georgia"/>
          <w:sz w:val="20"/>
          <w:szCs w:val="20"/>
        </w:rPr>
        <w:t xml:space="preserve">aulers must be F.O.G. </w:t>
      </w:r>
      <w:r w:rsidR="00D00B29">
        <w:rPr>
          <w:rFonts w:ascii="Georgia" w:hAnsi="Georgia"/>
          <w:sz w:val="20"/>
          <w:szCs w:val="20"/>
        </w:rPr>
        <w:t>c</w:t>
      </w:r>
      <w:r w:rsidRPr="00EB1347">
        <w:rPr>
          <w:rFonts w:ascii="Georgia" w:hAnsi="Georgia"/>
          <w:sz w:val="20"/>
          <w:szCs w:val="20"/>
        </w:rPr>
        <w:t xml:space="preserve">ertified in the State of Georgia. </w:t>
      </w:r>
      <w:r w:rsidR="00065B57" w:rsidRPr="00EB1347">
        <w:rPr>
          <w:rFonts w:ascii="Georgia" w:hAnsi="Georgia"/>
          <w:sz w:val="20"/>
          <w:szCs w:val="20"/>
        </w:rPr>
        <w:t>These</w:t>
      </w:r>
      <w:r w:rsidRPr="00EB1347">
        <w:rPr>
          <w:rFonts w:ascii="Georgia" w:hAnsi="Georgia"/>
          <w:sz w:val="20"/>
          <w:szCs w:val="20"/>
        </w:rPr>
        <w:t xml:space="preserve"> </w:t>
      </w:r>
      <w:r w:rsidR="00D00B29">
        <w:rPr>
          <w:rFonts w:ascii="Georgia" w:hAnsi="Georgia"/>
          <w:sz w:val="20"/>
          <w:szCs w:val="20"/>
        </w:rPr>
        <w:t>c</w:t>
      </w:r>
      <w:r w:rsidRPr="00EB1347">
        <w:rPr>
          <w:rFonts w:ascii="Georgia" w:hAnsi="Georgia"/>
          <w:sz w:val="20"/>
          <w:szCs w:val="20"/>
        </w:rPr>
        <w:t xml:space="preserve">ompanies </w:t>
      </w:r>
      <w:r w:rsidR="00D00B29">
        <w:rPr>
          <w:rFonts w:ascii="Georgia" w:hAnsi="Georgia"/>
          <w:sz w:val="20"/>
          <w:szCs w:val="20"/>
        </w:rPr>
        <w:t>c</w:t>
      </w:r>
      <w:r w:rsidRPr="00EB1347">
        <w:rPr>
          <w:rFonts w:ascii="Georgia" w:hAnsi="Georgia"/>
          <w:sz w:val="20"/>
          <w:szCs w:val="20"/>
        </w:rPr>
        <w:t xml:space="preserve">urrently abide by the City of Valdosta F.O.G. Prevention </w:t>
      </w:r>
      <w:r w:rsidR="00E838B8" w:rsidRPr="00EB1347">
        <w:rPr>
          <w:rFonts w:ascii="Georgia" w:hAnsi="Georgia"/>
          <w:sz w:val="20"/>
          <w:szCs w:val="20"/>
        </w:rPr>
        <w:t>Program Standard</w:t>
      </w:r>
      <w:r w:rsidRPr="00EB1347">
        <w:rPr>
          <w:rFonts w:ascii="Georgia" w:hAnsi="Georgia"/>
          <w:sz w:val="20"/>
          <w:szCs w:val="20"/>
        </w:rPr>
        <w:t xml:space="preserve"> Operating Procedure for </w:t>
      </w:r>
      <w:r w:rsidR="00D00B29">
        <w:rPr>
          <w:rFonts w:ascii="Georgia" w:hAnsi="Georgia"/>
          <w:sz w:val="20"/>
          <w:szCs w:val="20"/>
        </w:rPr>
        <w:t>c</w:t>
      </w:r>
      <w:r w:rsidRPr="00EB1347">
        <w:rPr>
          <w:rFonts w:ascii="Georgia" w:hAnsi="Georgia"/>
          <w:sz w:val="20"/>
          <w:szCs w:val="20"/>
        </w:rPr>
        <w:t xml:space="preserve">ommercial </w:t>
      </w:r>
      <w:r w:rsidR="00D00B29">
        <w:rPr>
          <w:rFonts w:ascii="Georgia" w:hAnsi="Georgia"/>
          <w:sz w:val="20"/>
          <w:szCs w:val="20"/>
        </w:rPr>
        <w:t>w</w:t>
      </w:r>
      <w:r w:rsidRPr="00EB1347">
        <w:rPr>
          <w:rFonts w:ascii="Georgia" w:hAnsi="Georgia"/>
          <w:sz w:val="20"/>
          <w:szCs w:val="20"/>
        </w:rPr>
        <w:t xml:space="preserve">aste </w:t>
      </w:r>
      <w:r w:rsidR="00D00B29">
        <w:rPr>
          <w:rFonts w:ascii="Georgia" w:hAnsi="Georgia"/>
          <w:sz w:val="20"/>
          <w:szCs w:val="20"/>
        </w:rPr>
        <w:t>h</w:t>
      </w:r>
      <w:r w:rsidRPr="00EB1347">
        <w:rPr>
          <w:rFonts w:ascii="Georgia" w:hAnsi="Georgia"/>
          <w:sz w:val="20"/>
          <w:szCs w:val="20"/>
        </w:rPr>
        <w:t xml:space="preserve">aulers. If you </w:t>
      </w:r>
      <w:r w:rsidR="00E838B8" w:rsidRPr="00EB1347">
        <w:rPr>
          <w:rFonts w:ascii="Georgia" w:hAnsi="Georgia"/>
          <w:sz w:val="20"/>
          <w:szCs w:val="20"/>
        </w:rPr>
        <w:t>wish</w:t>
      </w:r>
      <w:r w:rsidRPr="00EB1347">
        <w:rPr>
          <w:rFonts w:ascii="Georgia" w:hAnsi="Georgia"/>
          <w:sz w:val="20"/>
          <w:szCs w:val="20"/>
        </w:rPr>
        <w:t xml:space="preserve"> to use another certified </w:t>
      </w:r>
      <w:r w:rsidR="00D00B29">
        <w:rPr>
          <w:rFonts w:ascii="Georgia" w:hAnsi="Georgia"/>
          <w:sz w:val="20"/>
          <w:szCs w:val="20"/>
        </w:rPr>
        <w:t>h</w:t>
      </w:r>
      <w:r w:rsidRPr="00EB1347">
        <w:rPr>
          <w:rFonts w:ascii="Georgia" w:hAnsi="Georgia"/>
          <w:sz w:val="20"/>
          <w:szCs w:val="20"/>
        </w:rPr>
        <w:t>auler</w:t>
      </w:r>
      <w:r w:rsidR="00D00B29">
        <w:rPr>
          <w:rFonts w:ascii="Georgia" w:hAnsi="Georgia"/>
          <w:sz w:val="20"/>
          <w:szCs w:val="20"/>
        </w:rPr>
        <w:t xml:space="preserve">, </w:t>
      </w:r>
      <w:r w:rsidR="00DF2F19" w:rsidRPr="00EB1347">
        <w:rPr>
          <w:rFonts w:ascii="Georgia" w:hAnsi="Georgia"/>
          <w:sz w:val="20"/>
          <w:szCs w:val="20"/>
        </w:rPr>
        <w:t>they</w:t>
      </w:r>
      <w:r w:rsidRPr="00EB1347">
        <w:rPr>
          <w:rFonts w:ascii="Georgia" w:hAnsi="Georgia"/>
          <w:sz w:val="20"/>
          <w:szCs w:val="20"/>
        </w:rPr>
        <w:t xml:space="preserve"> must submit </w:t>
      </w:r>
      <w:r w:rsidR="00E838B8" w:rsidRPr="00EB1347">
        <w:rPr>
          <w:rFonts w:ascii="Georgia" w:hAnsi="Georgia"/>
          <w:sz w:val="20"/>
          <w:szCs w:val="20"/>
        </w:rPr>
        <w:t xml:space="preserve">their information to the F.O.G. Prevention Coordinator prior to servicing to make sure they are in compliance with all </w:t>
      </w:r>
      <w:r w:rsidR="00D00B29">
        <w:rPr>
          <w:rFonts w:ascii="Georgia" w:hAnsi="Georgia"/>
          <w:sz w:val="20"/>
          <w:szCs w:val="20"/>
        </w:rPr>
        <w:t>s</w:t>
      </w:r>
      <w:r w:rsidR="00E838B8" w:rsidRPr="00EB1347">
        <w:rPr>
          <w:rFonts w:ascii="Georgia" w:hAnsi="Georgia"/>
          <w:sz w:val="20"/>
          <w:szCs w:val="20"/>
        </w:rPr>
        <w:t xml:space="preserve">tate and </w:t>
      </w:r>
      <w:r w:rsidR="00D00B29">
        <w:rPr>
          <w:rFonts w:ascii="Georgia" w:hAnsi="Georgia"/>
          <w:sz w:val="20"/>
          <w:szCs w:val="20"/>
        </w:rPr>
        <w:t>l</w:t>
      </w:r>
      <w:r w:rsidR="00E838B8" w:rsidRPr="00EB1347">
        <w:rPr>
          <w:rFonts w:ascii="Georgia" w:hAnsi="Georgia"/>
          <w:sz w:val="20"/>
          <w:szCs w:val="20"/>
        </w:rPr>
        <w:t xml:space="preserve">ocal </w:t>
      </w:r>
      <w:r w:rsidR="00D00B29">
        <w:rPr>
          <w:rFonts w:ascii="Georgia" w:hAnsi="Georgia"/>
          <w:sz w:val="20"/>
          <w:szCs w:val="20"/>
        </w:rPr>
        <w:t>r</w:t>
      </w:r>
      <w:r w:rsidR="00E838B8" w:rsidRPr="00EB1347">
        <w:rPr>
          <w:rFonts w:ascii="Georgia" w:hAnsi="Georgia"/>
          <w:sz w:val="20"/>
          <w:szCs w:val="20"/>
        </w:rPr>
        <w:t xml:space="preserve">egulations. </w:t>
      </w:r>
    </w:p>
    <w:p w:rsidR="00DF2F19" w:rsidRDefault="00DF2F19" w:rsidP="00102549">
      <w:pPr>
        <w:tabs>
          <w:tab w:val="left" w:pos="3090"/>
        </w:tabs>
        <w:jc w:val="center"/>
      </w:pPr>
      <w:r>
        <w:t xml:space="preserve">For a Complete list of Georgia Commercial Waste Haulers visit - </w:t>
      </w:r>
      <w:hyperlink r:id="rId4" w:history="1">
        <w:r w:rsidR="00F84CA4" w:rsidRPr="009967F6">
          <w:rPr>
            <w:rStyle w:val="Hyperlink"/>
          </w:rPr>
          <w:t>https://www.southeasternfogalliance.org/assets/2018incompliancecommercialhaulers.pdf</w:t>
        </w:r>
      </w:hyperlink>
    </w:p>
    <w:p w:rsidR="00F84CA4" w:rsidRDefault="00F84CA4" w:rsidP="00102549">
      <w:pPr>
        <w:tabs>
          <w:tab w:val="left" w:pos="3090"/>
        </w:tabs>
        <w:jc w:val="center"/>
      </w:pPr>
      <w:r>
        <w:t xml:space="preserve">Joseph Gangler F.O.G. Coordinator </w:t>
      </w:r>
      <w:hyperlink r:id="rId5" w:history="1">
        <w:r w:rsidRPr="009967F6">
          <w:rPr>
            <w:rStyle w:val="Hyperlink"/>
          </w:rPr>
          <w:t>jgangler@valdostacity.com</w:t>
        </w:r>
      </w:hyperlink>
      <w:r>
        <w:t xml:space="preserve"> </w:t>
      </w:r>
    </w:p>
    <w:p w:rsidR="00F84CA4" w:rsidRDefault="00F84CA4" w:rsidP="00102549">
      <w:pPr>
        <w:tabs>
          <w:tab w:val="left" w:pos="3090"/>
        </w:tabs>
        <w:jc w:val="center"/>
      </w:pPr>
      <w:r>
        <w:t>Phone: 229-259-3592  EXT: 4329</w:t>
      </w:r>
    </w:p>
    <w:p w:rsidR="00F84CA4" w:rsidRPr="00DF2F19" w:rsidRDefault="00F84CA4" w:rsidP="00102549">
      <w:pPr>
        <w:tabs>
          <w:tab w:val="left" w:pos="3090"/>
        </w:tabs>
        <w:jc w:val="center"/>
      </w:pPr>
      <w:bookmarkStart w:id="1" w:name="_GoBack"/>
      <w:bookmarkEnd w:id="1"/>
    </w:p>
    <w:sectPr w:rsidR="00F84CA4" w:rsidRPr="00DF2F19" w:rsidSect="00BB73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BA"/>
    <w:rsid w:val="00065B57"/>
    <w:rsid w:val="00102549"/>
    <w:rsid w:val="00166EAC"/>
    <w:rsid w:val="002C7FC6"/>
    <w:rsid w:val="002D0186"/>
    <w:rsid w:val="002D78F4"/>
    <w:rsid w:val="00305E70"/>
    <w:rsid w:val="003251B1"/>
    <w:rsid w:val="005B1807"/>
    <w:rsid w:val="006264AD"/>
    <w:rsid w:val="00662607"/>
    <w:rsid w:val="007552FC"/>
    <w:rsid w:val="008A25FF"/>
    <w:rsid w:val="009547E1"/>
    <w:rsid w:val="009E634A"/>
    <w:rsid w:val="00BB73BA"/>
    <w:rsid w:val="00D00B29"/>
    <w:rsid w:val="00DF2F19"/>
    <w:rsid w:val="00E007B7"/>
    <w:rsid w:val="00E565EB"/>
    <w:rsid w:val="00E838B8"/>
    <w:rsid w:val="00EB1347"/>
    <w:rsid w:val="00F84CA4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AD7E5-A38B-4FD4-ABD7-FCD554C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4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angler@valdostacity.com" TargetMode="External"/><Relationship Id="rId4" Type="http://schemas.openxmlformats.org/officeDocument/2006/relationships/hyperlink" Target="https://www.southeasternfogalliance.org/assets/2018incompliancecommercialhaul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Gangler</dc:creator>
  <cp:keywords/>
  <dc:description/>
  <cp:lastModifiedBy>Scott Fowler</cp:lastModifiedBy>
  <cp:revision>18</cp:revision>
  <cp:lastPrinted>2018-09-06T12:05:00Z</cp:lastPrinted>
  <dcterms:created xsi:type="dcterms:W3CDTF">2018-06-01T11:49:00Z</dcterms:created>
  <dcterms:modified xsi:type="dcterms:W3CDTF">2019-04-29T20:46:00Z</dcterms:modified>
</cp:coreProperties>
</file>